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6B200B81" w:rsidR="00A03063" w:rsidRPr="00EA0170"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EA0170">
        <w:rPr>
          <w:b/>
          <w:noProof/>
          <w:sz w:val="24"/>
          <w:szCs w:val="24"/>
        </w:rPr>
        <w:t>#102-e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E162EF">
        <w:rPr>
          <w:b/>
          <w:sz w:val="24"/>
          <w:szCs w:val="24"/>
          <w:lang w:eastAsia="ko-KR"/>
        </w:rPr>
        <w:t>R1-2006137</w:t>
      </w:r>
    </w:p>
    <w:bookmarkEnd w:id="0"/>
    <w:bookmarkEnd w:id="1"/>
    <w:p w14:paraId="425BDF0B" w14:textId="7009269C"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EA0170">
        <w:rPr>
          <w:rFonts w:ascii="Arial" w:eastAsia="Batang" w:hAnsi="Arial" w:cs="Times New Roman"/>
          <w:b/>
          <w:noProof/>
          <w:spacing w:val="0"/>
          <w:kern w:val="0"/>
          <w:sz w:val="24"/>
          <w:szCs w:val="24"/>
          <w:lang w:val="en-GB" w:eastAsia="en-US"/>
        </w:rPr>
        <w:t>August 17th – 28</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69AB17A1"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EA0170">
        <w:rPr>
          <w:rFonts w:ascii="Arial" w:eastAsia="SimSun" w:hAnsi="Arial" w:cs="Arial" w:hint="eastAsia"/>
          <w:sz w:val="24"/>
          <w:szCs w:val="24"/>
          <w:lang w:eastAsia="zh-CN"/>
        </w:rPr>
        <w:t>8.2</w:t>
      </w:r>
      <w:r w:rsidR="00CE570C">
        <w:rPr>
          <w:rFonts w:ascii="Arial" w:eastAsia="SimSun" w:hAnsi="Arial" w:cs="Arial" w:hint="eastAsia"/>
          <w:sz w:val="24"/>
          <w:szCs w:val="24"/>
          <w:lang w:eastAsia="zh-CN"/>
        </w:rPr>
        <w:t>.</w:t>
      </w:r>
      <w:r w:rsidR="00CE570C">
        <w:rPr>
          <w:rFonts w:ascii="Arial" w:eastAsia="SimSun" w:hAnsi="Arial" w:cs="Arial"/>
          <w:sz w:val="24"/>
          <w:szCs w:val="24"/>
          <w:lang w:eastAsia="zh-CN"/>
        </w:rPr>
        <w:t>2</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6900A1C5"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CE570C" w:rsidRPr="00CE570C">
        <w:rPr>
          <w:rFonts w:ascii="Arial" w:hAnsi="Arial" w:cs="Arial"/>
          <w:sz w:val="24"/>
          <w:szCs w:val="24"/>
        </w:rPr>
        <w:t>Channel access mechanism for 60 GHz unlicensed spectrum</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7DBC6EAB"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CE570C">
        <w:rPr>
          <w:rFonts w:ascii="Times New Roman" w:hAnsi="Times New Roman"/>
          <w:sz w:val="20"/>
          <w:szCs w:val="20"/>
        </w:rPr>
        <w:t>the</w:t>
      </w:r>
      <w:r w:rsidR="00CE570C" w:rsidRPr="00CE570C">
        <w:rPr>
          <w:rFonts w:ascii="Times New Roman" w:hAnsi="Times New Roman"/>
          <w:sz w:val="20"/>
          <w:szCs w:val="20"/>
        </w:rPr>
        <w:t xml:space="preserve"> channel access mechanism, considering potential interference to/from other nodes, assuming beam based operation, in order to comply with the regulatory requirements applicable to unlicensed spectrum for frequencies between 52.6 GHz and 71 GHz</w:t>
      </w:r>
      <w:r w:rsidR="00CE570C">
        <w:rPr>
          <w:rFonts w:ascii="Times New Roman" w:hAnsi="Times New Roman"/>
          <w:sz w:val="20"/>
          <w:szCs w:val="20"/>
        </w:rPr>
        <w:t xml:space="preserve"> (i.e., 60 GHz unlicensed spectrum)</w:t>
      </w:r>
      <w:r w:rsidR="00085D35">
        <w:rPr>
          <w:rFonts w:ascii="Times New Roman" w:hAnsi="Times New Roman"/>
          <w:sz w:val="20"/>
          <w:szCs w:val="20"/>
        </w:rPr>
        <w:t xml:space="preserve">. </w:t>
      </w:r>
    </w:p>
    <w:p w14:paraId="3B813B3B" w14:textId="66F31A11"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General Aspects for </w:t>
      </w:r>
      <w:r w:rsidR="00CE570C">
        <w:rPr>
          <w:rFonts w:ascii="Arial" w:hAnsi="Arial" w:cs="Arial"/>
          <w:color w:val="auto"/>
          <w:lang w:val="en-US" w:eastAsia="ko-KR"/>
        </w:rPr>
        <w:t>Channel Access Mechanism</w:t>
      </w:r>
    </w:p>
    <w:p w14:paraId="02091505" w14:textId="33C59F67" w:rsidR="00D52FE0" w:rsidRDefault="00EF15A2" w:rsidP="00D52FE0">
      <w:pPr>
        <w:spacing w:after="0"/>
        <w:ind w:firstLineChars="193" w:firstLine="386"/>
        <w:jc w:val="both"/>
        <w:rPr>
          <w:rFonts w:ascii="Times New Roman" w:hAnsi="Times New Roman"/>
          <w:sz w:val="20"/>
          <w:szCs w:val="20"/>
        </w:rPr>
      </w:pPr>
      <w:r>
        <w:rPr>
          <w:rFonts w:ascii="Times New Roman" w:hAnsi="Times New Roman"/>
          <w:sz w:val="20"/>
          <w:szCs w:val="20"/>
        </w:rPr>
        <w:t xml:space="preserve">As identified in </w:t>
      </w:r>
      <w:proofErr w:type="gramStart"/>
      <w:r>
        <w:rPr>
          <w:rFonts w:ascii="Times New Roman" w:hAnsi="Times New Roman"/>
          <w:sz w:val="20"/>
          <w:szCs w:val="20"/>
        </w:rPr>
        <w:t>our</w:t>
      </w:r>
      <w:proofErr w:type="gramEnd"/>
      <w:r>
        <w:rPr>
          <w:rFonts w:ascii="Times New Roman" w:hAnsi="Times New Roman"/>
          <w:sz w:val="20"/>
          <w:szCs w:val="20"/>
        </w:rPr>
        <w:t xml:space="preserve"> accompany contribution [2], in the targeted carrier frequency range </w:t>
      </w:r>
      <w:r w:rsidRPr="00CE570C">
        <w:rPr>
          <w:rFonts w:ascii="Times New Roman" w:hAnsi="Times New Roman"/>
          <w:sz w:val="20"/>
          <w:szCs w:val="20"/>
        </w:rPr>
        <w:t>between 52.6 GHz and 71 GHz</w:t>
      </w:r>
      <w:r>
        <w:rPr>
          <w:rFonts w:ascii="Times New Roman" w:hAnsi="Times New Roman"/>
          <w:sz w:val="20"/>
          <w:szCs w:val="20"/>
        </w:rPr>
        <w:t xml:space="preserve">, only 60 GHz unlicensed spectrum is identified </w:t>
      </w:r>
      <w:r w:rsidR="00D52FE0">
        <w:rPr>
          <w:rFonts w:ascii="Times New Roman" w:hAnsi="Times New Roman"/>
          <w:sz w:val="20"/>
          <w:szCs w:val="20"/>
        </w:rPr>
        <w:t xml:space="preserve">between 57 GHz and 71 GHz, wherein the carrier frequency range between 57 GHz to 66 GHz is globally unlicensed, while the carrier frequency range between 66 GHz and 71 GHz is only applicable in US at least for now. </w:t>
      </w:r>
    </w:p>
    <w:p w14:paraId="416DB5B2" w14:textId="17A3B52F" w:rsidR="00D52FE0" w:rsidRDefault="00D52FE0" w:rsidP="00D52FE0">
      <w:pPr>
        <w:spacing w:after="0"/>
        <w:ind w:firstLineChars="193" w:firstLine="386"/>
        <w:jc w:val="both"/>
        <w:rPr>
          <w:rFonts w:ascii="Times New Roman" w:hAnsi="Times New Roman"/>
          <w:sz w:val="20"/>
          <w:szCs w:val="20"/>
        </w:rPr>
      </w:pPr>
    </w:p>
    <w:p w14:paraId="41E079C1" w14:textId="77777777" w:rsidR="00B916F6" w:rsidRDefault="00B916F6" w:rsidP="00B916F6">
      <w:pPr>
        <w:spacing w:after="0"/>
        <w:ind w:firstLineChars="193" w:firstLine="386"/>
        <w:jc w:val="both"/>
        <w:rPr>
          <w:rFonts w:ascii="Times New Roman" w:hAnsi="Times New Roman"/>
          <w:sz w:val="20"/>
          <w:szCs w:val="20"/>
        </w:rPr>
      </w:pPr>
      <w:r>
        <w:rPr>
          <w:rFonts w:ascii="Times New Roman" w:hAnsi="Times New Roman"/>
          <w:sz w:val="20"/>
          <w:szCs w:val="20"/>
        </w:rPr>
        <w:t xml:space="preserve">ETSI regulation for the operating on the 60 GHz unlicensed spectrum is captured in [3], where the channel access mechanism (so called “medium access protocol” in [3]) is specified in section 4.2.5. 3GPP shall comply to the regulation requirement when designing the channel access mechanism, in order to guarantee fair coexistence with other RATs operating on the same carrier frequency range. For example, Wi-Fi 802.11 ad is one of such existing RAT developed to operate on the 60 GHz unlicensed spectrum. </w:t>
      </w:r>
    </w:p>
    <w:p w14:paraId="6ED0798A" w14:textId="77777777" w:rsidR="009B5F2E" w:rsidRDefault="009B5F2E" w:rsidP="00B75C25">
      <w:pPr>
        <w:spacing w:after="0"/>
        <w:jc w:val="both"/>
        <w:rPr>
          <w:rFonts w:ascii="Times New Roman" w:hAnsi="Times New Roman"/>
          <w:b/>
          <w:sz w:val="20"/>
        </w:rPr>
      </w:pPr>
    </w:p>
    <w:p w14:paraId="21F8E6B7" w14:textId="6C574600"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B916F6">
        <w:rPr>
          <w:rFonts w:ascii="Times New Roman" w:hAnsi="Times New Roman"/>
          <w:b/>
          <w:sz w:val="20"/>
        </w:rPr>
        <w:t xml:space="preserve">The design of channel access mechanism shall </w:t>
      </w:r>
      <w:r w:rsidR="00B916F6" w:rsidRPr="00B916F6">
        <w:rPr>
          <w:rFonts w:ascii="Times New Roman" w:hAnsi="Times New Roman"/>
          <w:b/>
          <w:sz w:val="20"/>
        </w:rPr>
        <w:t>comply to the regulation requirement</w:t>
      </w:r>
      <w:r w:rsidR="00B916F6">
        <w:rPr>
          <w:rFonts w:ascii="Times New Roman" w:hAnsi="Times New Roman"/>
          <w:b/>
          <w:sz w:val="20"/>
        </w:rPr>
        <w:t xml:space="preserve">, and guarantee fair coexistence with 802.11 ad operating on the </w:t>
      </w:r>
      <w:r w:rsidR="00B916F6" w:rsidRPr="00B916F6">
        <w:rPr>
          <w:rFonts w:ascii="Times New Roman" w:hAnsi="Times New Roman"/>
          <w:b/>
          <w:sz w:val="20"/>
        </w:rPr>
        <w:t>60 GHz unlicensed spectrum</w:t>
      </w:r>
      <w:r w:rsidR="00B916F6">
        <w:rPr>
          <w:rFonts w:ascii="Times New Roman" w:hAnsi="Times New Roman"/>
          <w:b/>
          <w:sz w:val="20"/>
        </w:rPr>
        <w:t xml:space="preserve">. </w:t>
      </w:r>
    </w:p>
    <w:p w14:paraId="56BC228A" w14:textId="400B6AC9" w:rsidR="009B5F2E" w:rsidRDefault="00C6208A"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Directional LBT</w:t>
      </w:r>
    </w:p>
    <w:p w14:paraId="3F154500" w14:textId="2F3942A3" w:rsidR="00510796" w:rsidRDefault="009E6BD4"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 xml:space="preserve">For currently supported unlicensed technic in 3GPP, including LTE LAA and NR-U, a baseline to perform LBT is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-directionally sensing by the potential transmitter. However, t</w:t>
      </w:r>
      <w:r w:rsidR="00C856B3" w:rsidRPr="009E6BD4">
        <w:rPr>
          <w:rFonts w:ascii="Times New Roman" w:hAnsi="Times New Roman"/>
          <w:sz w:val="20"/>
          <w:szCs w:val="20"/>
        </w:rPr>
        <w:t xml:space="preserve">he operation </w:t>
      </w:r>
      <w:r w:rsidR="00C856B3">
        <w:rPr>
          <w:rFonts w:ascii="Times New Roman" w:hAnsi="Times New Roman"/>
          <w:sz w:val="20"/>
          <w:szCs w:val="20"/>
        </w:rPr>
        <w:t>between 57 GHz and 71 GHz is highly directional, wherein the configuration</w:t>
      </w:r>
      <w:r w:rsidR="00536B9B">
        <w:rPr>
          <w:rFonts w:ascii="Times New Roman" w:hAnsi="Times New Roman"/>
          <w:sz w:val="20"/>
          <w:szCs w:val="20"/>
        </w:rPr>
        <w:t>s</w:t>
      </w:r>
      <w:r w:rsidR="00C856B3">
        <w:rPr>
          <w:rFonts w:ascii="Times New Roman" w:hAnsi="Times New Roman"/>
          <w:sz w:val="20"/>
          <w:szCs w:val="20"/>
        </w:rPr>
        <w:t xml:space="preserve"> of antenna for both transmission and reception</w:t>
      </w:r>
      <w:r w:rsidR="00536B9B">
        <w:rPr>
          <w:rFonts w:ascii="Times New Roman" w:hAnsi="Times New Roman"/>
          <w:sz w:val="20"/>
          <w:szCs w:val="20"/>
        </w:rPr>
        <w:t xml:space="preserve"> are</w:t>
      </w:r>
      <w:r w:rsidR="00C856B3">
        <w:rPr>
          <w:rFonts w:ascii="Times New Roman" w:hAnsi="Times New Roman"/>
          <w:sz w:val="20"/>
          <w:szCs w:val="20"/>
        </w:rPr>
        <w:t xml:space="preserve"> </w:t>
      </w:r>
      <w:proofErr w:type="spellStart"/>
      <w:r w:rsidR="00C856B3">
        <w:rPr>
          <w:rFonts w:ascii="Times New Roman" w:hAnsi="Times New Roman"/>
          <w:sz w:val="20"/>
          <w:szCs w:val="20"/>
        </w:rPr>
        <w:t>beamformed</w:t>
      </w:r>
      <w:proofErr w:type="spellEnd"/>
      <w:r w:rsidR="00C856B3">
        <w:rPr>
          <w:rFonts w:ascii="Times New Roman" w:hAnsi="Times New Roman"/>
          <w:sz w:val="20"/>
          <w:szCs w:val="20"/>
        </w:rPr>
        <w:t xml:space="preserve"> according to the targeted direction. </w:t>
      </w:r>
      <w:r w:rsidRPr="009E6BD4">
        <w:rPr>
          <w:rFonts w:ascii="Times New Roman" w:hAnsi="Times New Roman"/>
          <w:sz w:val="20"/>
          <w:szCs w:val="20"/>
        </w:rPr>
        <w:t>One option</w:t>
      </w:r>
      <w:r w:rsidR="00510796" w:rsidRPr="009E6BD4">
        <w:rPr>
          <w:rFonts w:ascii="Times New Roman" w:hAnsi="Times New Roman"/>
          <w:sz w:val="20"/>
          <w:szCs w:val="20"/>
        </w:rPr>
        <w:t xml:space="preserve"> to cop</w:t>
      </w:r>
      <w:r w:rsidRPr="009E6BD4">
        <w:rPr>
          <w:rFonts w:ascii="Times New Roman" w:hAnsi="Times New Roman"/>
          <w:sz w:val="20"/>
          <w:szCs w:val="20"/>
        </w:rPr>
        <w:t>e with directional transmission and reception on the 60 GHz unlicensed band</w:t>
      </w:r>
      <w:r w:rsidR="00510796" w:rsidRPr="009E6BD4">
        <w:rPr>
          <w:rFonts w:ascii="Times New Roman" w:hAnsi="Times New Roman"/>
          <w:sz w:val="20"/>
          <w:szCs w:val="20"/>
        </w:rPr>
        <w:t xml:space="preserve"> and </w:t>
      </w:r>
      <w:r w:rsidRPr="009E6BD4">
        <w:rPr>
          <w:rFonts w:ascii="Times New Roman" w:hAnsi="Times New Roman"/>
          <w:sz w:val="20"/>
          <w:szCs w:val="20"/>
        </w:rPr>
        <w:t xml:space="preserve">to </w:t>
      </w:r>
      <w:r w:rsidR="00510796" w:rsidRPr="009E6BD4">
        <w:rPr>
          <w:rFonts w:ascii="Times New Roman" w:hAnsi="Times New Roman"/>
          <w:sz w:val="20"/>
          <w:szCs w:val="20"/>
        </w:rPr>
        <w:t xml:space="preserve">improve spatial reuse is for the potential transmitter to perform a </w:t>
      </w:r>
      <w:r w:rsidRPr="009E6BD4">
        <w:rPr>
          <w:rFonts w:ascii="Times New Roman" w:hAnsi="Times New Roman"/>
          <w:sz w:val="20"/>
          <w:szCs w:val="20"/>
        </w:rPr>
        <w:t>LBT according to the same direction as</w:t>
      </w:r>
      <w:r w:rsidR="00510796" w:rsidRPr="009E6BD4">
        <w:rPr>
          <w:rFonts w:ascii="Times New Roman" w:hAnsi="Times New Roman"/>
          <w:sz w:val="20"/>
          <w:szCs w:val="20"/>
        </w:rPr>
        <w:t xml:space="preserve"> its i</w:t>
      </w:r>
      <w:r w:rsidRPr="009E6BD4">
        <w:rPr>
          <w:rFonts w:ascii="Times New Roman" w:hAnsi="Times New Roman"/>
          <w:sz w:val="20"/>
          <w:szCs w:val="20"/>
        </w:rPr>
        <w:t xml:space="preserve">ntended transmit beam direction, so called “directional LBT”. </w:t>
      </w:r>
      <w:r w:rsidR="00510796" w:rsidRPr="009E6BD4">
        <w:rPr>
          <w:rFonts w:ascii="Times New Roman" w:hAnsi="Times New Roman"/>
          <w:sz w:val="20"/>
          <w:szCs w:val="20"/>
        </w:rPr>
        <w:t xml:space="preserve"> </w:t>
      </w:r>
    </w:p>
    <w:p w14:paraId="42BE39DB" w14:textId="77777777" w:rsidR="009E6BD4" w:rsidRPr="009E6BD4" w:rsidRDefault="009E6BD4" w:rsidP="009E6BD4">
      <w:pPr>
        <w:spacing w:after="0"/>
        <w:ind w:firstLineChars="193" w:firstLine="386"/>
        <w:jc w:val="both"/>
        <w:rPr>
          <w:rFonts w:ascii="Times New Roman" w:hAnsi="Times New Roman"/>
          <w:sz w:val="20"/>
          <w:szCs w:val="20"/>
        </w:rPr>
      </w:pPr>
    </w:p>
    <w:p w14:paraId="2E04EA3E" w14:textId="3D76C799" w:rsidR="00510796" w:rsidRDefault="00510796"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 xml:space="preserve">Compared to the baseline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directional LBT can lead to better channel access probability and correspondingly better spatial reuse under the same ED threshold. The channel access gain for directional LBT will further outweigh its potential SINR performance loss compared to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which correspondingly will lead to a better throughput performance than the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w:t>
      </w:r>
    </w:p>
    <w:p w14:paraId="10D4163F" w14:textId="77777777" w:rsidR="009E6BD4" w:rsidRPr="009E6BD4" w:rsidRDefault="009E6BD4" w:rsidP="009E6BD4">
      <w:pPr>
        <w:spacing w:after="0"/>
        <w:ind w:firstLineChars="193" w:firstLine="386"/>
        <w:jc w:val="both"/>
        <w:rPr>
          <w:rFonts w:ascii="Times New Roman" w:hAnsi="Times New Roman"/>
          <w:sz w:val="20"/>
          <w:szCs w:val="20"/>
        </w:rPr>
      </w:pPr>
    </w:p>
    <w:p w14:paraId="0D9B0CD1" w14:textId="2F395D7B" w:rsidR="00510796" w:rsidRPr="009E6BD4" w:rsidRDefault="00510796" w:rsidP="009E6BD4">
      <w:pPr>
        <w:spacing w:after="0"/>
        <w:jc w:val="both"/>
        <w:rPr>
          <w:rFonts w:ascii="Times New Roman" w:hAnsi="Times New Roman"/>
          <w:b/>
          <w:sz w:val="20"/>
        </w:rPr>
      </w:pPr>
      <w:r w:rsidRPr="009E6BD4">
        <w:rPr>
          <w:rFonts w:ascii="Times New Roman" w:hAnsi="Times New Roman"/>
          <w:b/>
          <w:sz w:val="20"/>
        </w:rPr>
        <w:t xml:space="preserve">Proposal </w:t>
      </w:r>
      <w:r w:rsidR="009E6BD4">
        <w:rPr>
          <w:rFonts w:ascii="Times New Roman" w:hAnsi="Times New Roman"/>
          <w:b/>
          <w:sz w:val="20"/>
        </w:rPr>
        <w:t>2</w:t>
      </w:r>
      <w:r w:rsidRPr="009E6BD4">
        <w:rPr>
          <w:rFonts w:ascii="Times New Roman" w:hAnsi="Times New Roman"/>
          <w:b/>
          <w:sz w:val="20"/>
        </w:rPr>
        <w:t xml:space="preserve">: </w:t>
      </w:r>
      <w:r w:rsidR="009E6BD4" w:rsidRPr="009E6BD4">
        <w:rPr>
          <w:rFonts w:ascii="Times New Roman" w:hAnsi="Times New Roman"/>
          <w:b/>
          <w:sz w:val="20"/>
        </w:rPr>
        <w:t>RAN1 shall study the channel access mechanism with directional channel sensing</w:t>
      </w:r>
      <w:r w:rsidRPr="009E6BD4">
        <w:rPr>
          <w:rFonts w:ascii="Times New Roman" w:hAnsi="Times New Roman"/>
          <w:b/>
          <w:sz w:val="20"/>
        </w:rPr>
        <w:t>.</w:t>
      </w:r>
    </w:p>
    <w:p w14:paraId="63B85F65" w14:textId="2F15B7D0" w:rsidR="005310EE" w:rsidRDefault="00510796"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lastRenderedPageBreak/>
        <w:t>LBT with Handshake Mechanism</w:t>
      </w:r>
    </w:p>
    <w:p w14:paraId="099FD03F" w14:textId="77777777"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6D1FC0">
        <w:rPr>
          <w:rFonts w:ascii="Times New Roman" w:hAnsi="Times New Roman" w:hint="eastAsia"/>
          <w:sz w:val="20"/>
          <w:szCs w:val="20"/>
        </w:rPr>
        <w:t>both</w:t>
      </w:r>
      <w:r w:rsidRPr="006D1FC0">
        <w:rPr>
          <w:rFonts w:ascii="Times New Roman" w:hAnsi="Times New Roman"/>
          <w:sz w:val="20"/>
          <w:szCs w:val="20"/>
        </w:rPr>
        <w:t xml:space="preserve"> conditions. </w:t>
      </w:r>
    </w:p>
    <w:p w14:paraId="1CD885CB" w14:textId="77777777" w:rsidR="006D1FC0" w:rsidRDefault="006D1FC0" w:rsidP="006D1FC0">
      <w:pPr>
        <w:spacing w:after="0"/>
        <w:ind w:firstLineChars="193" w:firstLine="386"/>
        <w:jc w:val="both"/>
        <w:rPr>
          <w:rFonts w:ascii="Times New Roman" w:hAnsi="Times New Roman"/>
          <w:sz w:val="20"/>
          <w:szCs w:val="20"/>
        </w:rPr>
      </w:pPr>
    </w:p>
    <w:p w14:paraId="5304A66D" w14:textId="6AFD920A"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A general approach for NR-U transmissions to satisfy both condition (1) and condition (2) is through supporting a configurable handshake mechanism between </w:t>
      </w:r>
      <w:proofErr w:type="spellStart"/>
      <w:r w:rsidRPr="006D1FC0">
        <w:rPr>
          <w:rFonts w:ascii="Times New Roman" w:hAnsi="Times New Roman"/>
          <w:sz w:val="20"/>
          <w:szCs w:val="20"/>
        </w:rPr>
        <w:t>gNB</w:t>
      </w:r>
      <w:proofErr w:type="spellEnd"/>
      <w:r w:rsidRPr="006D1FC0">
        <w:rPr>
          <w:rFonts w:ascii="Times New Roman" w:hAnsi="Times New Roman"/>
          <w:sz w:val="20"/>
          <w:szCs w:val="20"/>
        </w:rPr>
        <w:t xml:space="preserve"> and UE, on top of the LBT schemes discussed in Section </w:t>
      </w:r>
      <w:r w:rsidR="00042314" w:rsidRPr="006D1FC0">
        <w:rPr>
          <w:rFonts w:ascii="Times New Roman" w:hAnsi="Times New Roman"/>
          <w:sz w:val="20"/>
          <w:szCs w:val="20"/>
        </w:rPr>
        <w:t>3</w:t>
      </w:r>
      <w:r w:rsidRPr="006D1FC0">
        <w:rPr>
          <w:rFonts w:ascii="Times New Roman" w:hAnsi="Times New Roman"/>
          <w:sz w:val="20"/>
          <w:szCs w:val="20"/>
        </w:rPr>
        <w:t xml:space="preserve"> for data transmissions. It has been discussed in [</w:t>
      </w:r>
      <w:r w:rsidR="005B30F1" w:rsidRPr="006D1FC0">
        <w:rPr>
          <w:rFonts w:ascii="Times New Roman" w:hAnsi="Times New Roman"/>
          <w:sz w:val="20"/>
          <w:szCs w:val="20"/>
        </w:rPr>
        <w:t>4</w:t>
      </w:r>
      <w:r w:rsidRPr="006D1FC0">
        <w:rPr>
          <w:rFonts w:ascii="Times New Roman" w:hAnsi="Times New Roman"/>
          <w:sz w:val="20"/>
          <w:szCs w:val="20"/>
        </w:rPr>
        <w:t xml:space="preserve">] that handshaking between transmitter and receiver is a possible means to reduce the impact of hidden nodes for NR-U, and that detailed solutions for the handshaking can be considered. </w:t>
      </w:r>
    </w:p>
    <w:p w14:paraId="0CF647DD" w14:textId="77777777" w:rsidR="006D1FC0" w:rsidRDefault="006D1FC0" w:rsidP="006D1FC0">
      <w:pPr>
        <w:spacing w:after="0"/>
        <w:ind w:firstLineChars="193" w:firstLine="386"/>
        <w:jc w:val="both"/>
        <w:rPr>
          <w:rFonts w:ascii="Times New Roman" w:hAnsi="Times New Roman"/>
          <w:sz w:val="20"/>
          <w:szCs w:val="20"/>
        </w:rPr>
      </w:pPr>
    </w:p>
    <w:p w14:paraId="74717D82" w14:textId="0C9F5556" w:rsidR="00510796"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The handshake between </w:t>
      </w:r>
      <w:proofErr w:type="spellStart"/>
      <w:r w:rsidRPr="006D1FC0">
        <w:rPr>
          <w:rFonts w:ascii="Times New Roman" w:hAnsi="Times New Roman"/>
          <w:sz w:val="20"/>
          <w:szCs w:val="20"/>
        </w:rPr>
        <w:t>gNB</w:t>
      </w:r>
      <w:proofErr w:type="spellEnd"/>
      <w:r w:rsidRPr="006D1FC0">
        <w:rPr>
          <w:rFonts w:ascii="Times New Roman" w:hAnsi="Times New Roman"/>
          <w:sz w:val="20"/>
          <w:szCs w:val="20"/>
        </w:rPr>
        <w:t xml:space="preserve"> and UE can be including an exchange of a channel access request (CARQ) and a channel access response (CARP). Specifically, CARQ and CARP can be message-based, wherein the CARQ can be transmitted by the potential transmitter upon successful LBT for data transmission; and the CARP can be transmitted by the receiver upon receiving CARQ and after successful LBT (e.g., single-shot LBT). The CARQ (CARP) message can include the following information: the indicator for CARQ (CARP), the transmitter (receiver) identity, transmitter (receiver) beam direction information, the maximum channel occupancy time (MCOT), etc. Figure </w:t>
      </w:r>
      <w:r w:rsidR="005B30F1" w:rsidRPr="006D1FC0">
        <w:rPr>
          <w:rFonts w:ascii="Times New Roman" w:hAnsi="Times New Roman"/>
          <w:sz w:val="20"/>
          <w:szCs w:val="20"/>
        </w:rPr>
        <w:t>1</w:t>
      </w:r>
      <w:r w:rsidRPr="006D1FC0">
        <w:rPr>
          <w:rFonts w:ascii="Times New Roman" w:hAnsi="Times New Roman"/>
          <w:sz w:val="20"/>
          <w:szCs w:val="20"/>
        </w:rPr>
        <w:t xml:space="preserve"> illustrates an example of the LBT with handshake mechanism </w:t>
      </w:r>
      <w:r w:rsidR="005B30F1" w:rsidRPr="006D1FC0">
        <w:rPr>
          <w:rFonts w:ascii="Times New Roman" w:hAnsi="Times New Roman"/>
          <w:sz w:val="20"/>
          <w:szCs w:val="20"/>
        </w:rPr>
        <w:t>before a</w:t>
      </w:r>
      <w:r w:rsidRPr="006D1FC0">
        <w:rPr>
          <w:rFonts w:ascii="Times New Roman" w:hAnsi="Times New Roman"/>
          <w:sz w:val="20"/>
          <w:szCs w:val="20"/>
        </w:rPr>
        <w:t xml:space="preserve"> downlink transmission. </w:t>
      </w:r>
    </w:p>
    <w:p w14:paraId="57998F05" w14:textId="77777777" w:rsidR="006D1FC0" w:rsidRPr="006D1FC0" w:rsidRDefault="006D1FC0" w:rsidP="006D1FC0">
      <w:pPr>
        <w:spacing w:after="0"/>
        <w:ind w:firstLineChars="193" w:firstLine="386"/>
        <w:jc w:val="both"/>
        <w:rPr>
          <w:rFonts w:ascii="Times New Roman" w:hAnsi="Times New Roman"/>
          <w:sz w:val="20"/>
          <w:szCs w:val="20"/>
        </w:rPr>
      </w:pPr>
    </w:p>
    <w:p w14:paraId="40E8E33B" w14:textId="3BA7062F" w:rsidR="00510796" w:rsidRPr="006D1FC0" w:rsidRDefault="005B30F1" w:rsidP="006D1FC0">
      <w:pPr>
        <w:spacing w:after="0" w:line="288" w:lineRule="auto"/>
        <w:jc w:val="center"/>
        <w:rPr>
          <w:rFonts w:ascii="Times New Roman" w:hAnsi="Times New Roman"/>
          <w:sz w:val="20"/>
          <w:szCs w:val="20"/>
        </w:rPr>
      </w:pPr>
      <w:r w:rsidRPr="006D1FC0">
        <w:rPr>
          <w:rFonts w:ascii="Times New Roman" w:hAnsi="Times New Roman"/>
          <w:sz w:val="20"/>
          <w:szCs w:val="20"/>
        </w:rPr>
        <w:object w:dxaOrig="6745" w:dyaOrig="4369" w14:anchorId="1F2D0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95.6pt" o:ole="">
            <v:imagedata r:id="rId8" o:title=""/>
          </v:shape>
          <o:OLEObject Type="Embed" ProgID="Visio.Drawing.15" ShapeID="_x0000_i1025" DrawAspect="Content" ObjectID="_1658214081" r:id="rId9"/>
        </w:object>
      </w:r>
    </w:p>
    <w:p w14:paraId="416223C7" w14:textId="31B2826D" w:rsidR="00510796" w:rsidRPr="006D1FC0" w:rsidRDefault="00510796" w:rsidP="006D1FC0">
      <w:pPr>
        <w:spacing w:after="0" w:line="288" w:lineRule="auto"/>
        <w:jc w:val="center"/>
        <w:rPr>
          <w:rFonts w:ascii="Times New Roman" w:hAnsi="Times New Roman"/>
          <w:b/>
          <w:sz w:val="20"/>
          <w:szCs w:val="20"/>
        </w:rPr>
      </w:pPr>
      <w:r w:rsidRPr="006D1FC0">
        <w:rPr>
          <w:rFonts w:ascii="Times New Roman" w:hAnsi="Times New Roman"/>
          <w:b/>
          <w:sz w:val="20"/>
          <w:szCs w:val="20"/>
        </w:rPr>
        <w:t xml:space="preserve">Figure </w:t>
      </w:r>
      <w:r w:rsidR="005B30F1" w:rsidRPr="006D1FC0">
        <w:rPr>
          <w:rFonts w:ascii="Times New Roman" w:hAnsi="Times New Roman"/>
          <w:b/>
          <w:sz w:val="20"/>
          <w:szCs w:val="20"/>
        </w:rPr>
        <w:t>1</w:t>
      </w:r>
      <w:r w:rsidRPr="006D1FC0">
        <w:rPr>
          <w:rFonts w:ascii="Times New Roman" w:hAnsi="Times New Roman"/>
          <w:b/>
          <w:sz w:val="20"/>
          <w:szCs w:val="20"/>
        </w:rPr>
        <w:t xml:space="preserve">. Example of LBT with CARQ/CARP exchange </w:t>
      </w:r>
      <w:r w:rsidR="005B30F1" w:rsidRPr="006D1FC0">
        <w:rPr>
          <w:rFonts w:ascii="Times New Roman" w:hAnsi="Times New Roman"/>
          <w:b/>
          <w:sz w:val="20"/>
          <w:szCs w:val="20"/>
        </w:rPr>
        <w:t>before</w:t>
      </w:r>
      <w:r w:rsidRPr="006D1FC0">
        <w:rPr>
          <w:rFonts w:ascii="Times New Roman" w:hAnsi="Times New Roman"/>
          <w:b/>
          <w:sz w:val="20"/>
          <w:szCs w:val="20"/>
        </w:rPr>
        <w:t xml:space="preserve"> </w:t>
      </w:r>
      <w:r w:rsidR="005B30F1" w:rsidRPr="006D1FC0">
        <w:rPr>
          <w:rFonts w:ascii="Times New Roman" w:hAnsi="Times New Roman"/>
          <w:b/>
          <w:sz w:val="20"/>
          <w:szCs w:val="20"/>
        </w:rPr>
        <w:t xml:space="preserve">a </w:t>
      </w:r>
      <w:r w:rsidRPr="006D1FC0">
        <w:rPr>
          <w:rFonts w:ascii="Times New Roman" w:hAnsi="Times New Roman"/>
          <w:b/>
          <w:sz w:val="20"/>
          <w:szCs w:val="20"/>
        </w:rPr>
        <w:t>downlink transmission.</w:t>
      </w:r>
    </w:p>
    <w:p w14:paraId="4E764840" w14:textId="77777777" w:rsidR="006D1FC0" w:rsidRDefault="006D1FC0" w:rsidP="006D1FC0">
      <w:pPr>
        <w:spacing w:after="0"/>
        <w:ind w:firstLineChars="193" w:firstLine="386"/>
        <w:jc w:val="both"/>
        <w:rPr>
          <w:rFonts w:ascii="Times New Roman" w:hAnsi="Times New Roman"/>
          <w:sz w:val="20"/>
          <w:szCs w:val="20"/>
        </w:rPr>
      </w:pPr>
    </w:p>
    <w:p w14:paraId="6D035EDC" w14:textId="1D973FC6"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For a potential transmitter and receiver pair with the handshake mechanism, the transmission can be granted if (1) the LBT for data transmission at the transmitter side is successful; (2) the CARQ/CARP message exchange between the transmitter and receiver is successful; and optionally that (3) through monitoring the CARQ/CARP messages from other transmitter/receiver pairs, the potential transmitter can determine that its transmission will not cause strong interference to existing transmissions. Figure </w:t>
      </w:r>
      <w:r w:rsidR="006D1FC0" w:rsidRPr="006D1FC0">
        <w:rPr>
          <w:rFonts w:ascii="Times New Roman" w:hAnsi="Times New Roman"/>
          <w:sz w:val="20"/>
          <w:szCs w:val="20"/>
        </w:rPr>
        <w:t>2</w:t>
      </w:r>
      <w:r w:rsidRPr="006D1FC0">
        <w:rPr>
          <w:rFonts w:ascii="Times New Roman" w:hAnsi="Times New Roman"/>
          <w:sz w:val="20"/>
          <w:szCs w:val="20"/>
        </w:rPr>
        <w:t xml:space="preserve"> illustrates an example where gNB1 is transmitting to UE1; and gNB2 intends to transmit to UE2. Despite gNB2 can succeed in the directional LBT scheme, gNB2 can decide to not transmit to UE2, since UE2 will fail to respond the CARP addressed to gNB2 and/or gNB2 can receive the CARP message from UE1 that is addressed to gNB1. Therefore, the handshake mechanism can be combined with the LBT scheme to achieve fair and efficient channel access with the coexisting radio access technologies (RATs), which can be beneficial for both </w:t>
      </w:r>
      <w:proofErr w:type="spellStart"/>
      <w:r w:rsidRPr="006D1FC0">
        <w:rPr>
          <w:rFonts w:ascii="Times New Roman" w:hAnsi="Times New Roman"/>
          <w:sz w:val="20"/>
          <w:szCs w:val="20"/>
        </w:rPr>
        <w:t>omni</w:t>
      </w:r>
      <w:proofErr w:type="spellEnd"/>
      <w:r w:rsidRPr="006D1FC0">
        <w:rPr>
          <w:rFonts w:ascii="Times New Roman" w:hAnsi="Times New Roman"/>
          <w:sz w:val="20"/>
          <w:szCs w:val="20"/>
        </w:rPr>
        <w:t>-directional and directional LBT schemes.</w:t>
      </w:r>
    </w:p>
    <w:p w14:paraId="355B0865" w14:textId="47D3266E" w:rsidR="00510796" w:rsidRPr="006D1FC0" w:rsidRDefault="004A6FE4" w:rsidP="006D1FC0">
      <w:pPr>
        <w:spacing w:after="0" w:line="288" w:lineRule="auto"/>
        <w:jc w:val="center"/>
        <w:rPr>
          <w:rFonts w:ascii="Times New Roman" w:hAnsi="Times New Roman"/>
          <w:sz w:val="20"/>
          <w:szCs w:val="20"/>
        </w:rPr>
      </w:pPr>
      <w:r>
        <w:object w:dxaOrig="2557" w:dyaOrig="2905" w14:anchorId="49BBE1D3">
          <v:shape id="_x0000_i1026" type="#_x0000_t75" style="width:128.4pt;height:145.8pt" o:ole="">
            <v:imagedata r:id="rId10" o:title=""/>
          </v:shape>
          <o:OLEObject Type="Embed" ProgID="Visio.Drawing.15" ShapeID="_x0000_i1026" DrawAspect="Content" ObjectID="_1658214082" r:id="rId11"/>
        </w:object>
      </w:r>
    </w:p>
    <w:p w14:paraId="005DE8E1" w14:textId="2D93CBC9" w:rsidR="00510796" w:rsidRPr="004A6FE4" w:rsidRDefault="00510796" w:rsidP="006D1FC0">
      <w:pPr>
        <w:spacing w:after="0" w:line="288" w:lineRule="auto"/>
        <w:jc w:val="center"/>
        <w:rPr>
          <w:rFonts w:ascii="Times New Roman" w:hAnsi="Times New Roman"/>
          <w:b/>
          <w:sz w:val="20"/>
          <w:szCs w:val="20"/>
        </w:rPr>
      </w:pPr>
      <w:r w:rsidRPr="004A6FE4">
        <w:rPr>
          <w:rFonts w:ascii="Times New Roman" w:hAnsi="Times New Roman"/>
          <w:b/>
          <w:sz w:val="20"/>
          <w:szCs w:val="20"/>
        </w:rPr>
        <w:t xml:space="preserve">Figure </w:t>
      </w:r>
      <w:r w:rsidR="006D1FC0" w:rsidRPr="004A6FE4">
        <w:rPr>
          <w:rFonts w:ascii="Times New Roman" w:hAnsi="Times New Roman"/>
          <w:b/>
          <w:sz w:val="20"/>
          <w:szCs w:val="20"/>
        </w:rPr>
        <w:t>2</w:t>
      </w:r>
      <w:r w:rsidRPr="004A6FE4">
        <w:rPr>
          <w:rFonts w:ascii="Times New Roman" w:hAnsi="Times New Roman"/>
          <w:b/>
          <w:sz w:val="20"/>
          <w:szCs w:val="20"/>
        </w:rPr>
        <w:t>. Example of addressing hidden node issue with handshake mechanism.</w:t>
      </w:r>
    </w:p>
    <w:p w14:paraId="1230AE03" w14:textId="77777777" w:rsidR="006D1FC0" w:rsidRDefault="006D1FC0" w:rsidP="006D1FC0">
      <w:pPr>
        <w:spacing w:after="0" w:line="288" w:lineRule="auto"/>
        <w:jc w:val="both"/>
        <w:rPr>
          <w:rFonts w:ascii="Times New Roman" w:eastAsia="MS Mincho" w:hAnsi="Times New Roman"/>
          <w:b/>
          <w:sz w:val="20"/>
          <w:szCs w:val="20"/>
          <w:u w:val="single"/>
          <w:lang w:eastAsia="ja-JP"/>
        </w:rPr>
      </w:pPr>
    </w:p>
    <w:p w14:paraId="2DBBBF94" w14:textId="3C8695E1" w:rsidR="00510796" w:rsidRPr="006D1FC0" w:rsidRDefault="00510796" w:rsidP="006D1FC0">
      <w:pPr>
        <w:spacing w:after="0"/>
        <w:jc w:val="both"/>
        <w:rPr>
          <w:rFonts w:ascii="Times New Roman" w:hAnsi="Times New Roman"/>
          <w:b/>
          <w:sz w:val="20"/>
        </w:rPr>
      </w:pPr>
      <w:r w:rsidRPr="006D1FC0">
        <w:rPr>
          <w:rFonts w:ascii="Times New Roman" w:hAnsi="Times New Roman"/>
          <w:b/>
          <w:sz w:val="20"/>
        </w:rPr>
        <w:t xml:space="preserve">Proposal </w:t>
      </w:r>
      <w:r w:rsidR="006D1FC0" w:rsidRPr="006D1FC0">
        <w:rPr>
          <w:rFonts w:ascii="Times New Roman" w:hAnsi="Times New Roman"/>
          <w:b/>
          <w:sz w:val="20"/>
        </w:rPr>
        <w:t xml:space="preserve">3: RAN1 shall study the channel access mechanism with handshake between transmitter and receiver.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726B8AB0" w:rsidR="00031468" w:rsidRPr="000F12F5"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6D1FC0">
        <w:rPr>
          <w:rFonts w:ascii="Times New Roman" w:hAnsi="Times New Roman"/>
          <w:sz w:val="20"/>
        </w:rPr>
        <w:t>the channel access mechanism on the 60 GHz unlicensed spectrum</w:t>
      </w:r>
      <w:r w:rsidR="000F12F5">
        <w:rPr>
          <w:rFonts w:ascii="Times New Roman" w:hAnsi="Times New Roman"/>
          <w:sz w:val="20"/>
        </w:rPr>
        <w:t xml:space="preserve">. </w:t>
      </w:r>
      <w:r w:rsidR="006D1FC0">
        <w:rPr>
          <w:rFonts w:ascii="Times New Roman" w:hAnsi="Times New Roman"/>
          <w:sz w:val="20"/>
        </w:rPr>
        <w:t>P</w:t>
      </w:r>
      <w:r w:rsidR="000F12F5">
        <w:rPr>
          <w:rFonts w:ascii="Times New Roman" w:hAnsi="Times New Roman"/>
          <w:sz w:val="20"/>
        </w:rPr>
        <w:t xml:space="preserve">roposals of this contribution are summarized as follows. </w:t>
      </w:r>
    </w:p>
    <w:p w14:paraId="0FC1F59B" w14:textId="5B3EA8C3" w:rsidR="006D1FC0" w:rsidRDefault="006D1FC0" w:rsidP="006D1FC0">
      <w:pPr>
        <w:spacing w:after="0"/>
        <w:jc w:val="both"/>
        <w:rPr>
          <w:rFonts w:ascii="Times New Roman" w:hAnsi="Times New Roman"/>
          <w:b/>
          <w:sz w:val="20"/>
        </w:rPr>
      </w:pPr>
      <w:r>
        <w:rPr>
          <w:rFonts w:ascii="Times New Roman" w:hAnsi="Times New Roman"/>
          <w:b/>
          <w:sz w:val="20"/>
        </w:rPr>
        <w:t xml:space="preserve">Proposal 1: The design of channel access mechanism shall </w:t>
      </w:r>
      <w:r w:rsidRPr="00B916F6">
        <w:rPr>
          <w:rFonts w:ascii="Times New Roman" w:hAnsi="Times New Roman"/>
          <w:b/>
          <w:sz w:val="20"/>
        </w:rPr>
        <w:t>comply to the regulation requirement</w:t>
      </w:r>
      <w:r>
        <w:rPr>
          <w:rFonts w:ascii="Times New Roman" w:hAnsi="Times New Roman"/>
          <w:b/>
          <w:sz w:val="20"/>
        </w:rPr>
        <w:t xml:space="preserve">, and guarantee fair coexistence with 802.11 ad operating on the </w:t>
      </w:r>
      <w:r w:rsidRPr="00B916F6">
        <w:rPr>
          <w:rFonts w:ascii="Times New Roman" w:hAnsi="Times New Roman"/>
          <w:b/>
          <w:sz w:val="20"/>
        </w:rPr>
        <w:t>60 GHz unlicensed spectrum</w:t>
      </w:r>
      <w:r>
        <w:rPr>
          <w:rFonts w:ascii="Times New Roman" w:hAnsi="Times New Roman"/>
          <w:b/>
          <w:sz w:val="20"/>
        </w:rPr>
        <w:t xml:space="preserve">. </w:t>
      </w:r>
    </w:p>
    <w:p w14:paraId="109D5C4B" w14:textId="77777777" w:rsidR="006D1FC0" w:rsidRDefault="006D1FC0" w:rsidP="006D1FC0">
      <w:pPr>
        <w:spacing w:after="0"/>
        <w:jc w:val="both"/>
        <w:rPr>
          <w:rFonts w:ascii="Times New Roman" w:hAnsi="Times New Roman"/>
          <w:b/>
          <w:sz w:val="20"/>
        </w:rPr>
      </w:pPr>
    </w:p>
    <w:p w14:paraId="4FDE1690" w14:textId="4A67F135" w:rsidR="006D1FC0" w:rsidRPr="009E6BD4" w:rsidRDefault="006D1FC0" w:rsidP="006D1FC0">
      <w:pPr>
        <w:spacing w:after="0"/>
        <w:jc w:val="both"/>
        <w:rPr>
          <w:rFonts w:ascii="Times New Roman" w:hAnsi="Times New Roman"/>
          <w:b/>
          <w:sz w:val="20"/>
        </w:rPr>
      </w:pPr>
      <w:r w:rsidRPr="009E6BD4">
        <w:rPr>
          <w:rFonts w:ascii="Times New Roman" w:hAnsi="Times New Roman"/>
          <w:b/>
          <w:sz w:val="20"/>
        </w:rPr>
        <w:t xml:space="preserve">Proposal </w:t>
      </w:r>
      <w:r>
        <w:rPr>
          <w:rFonts w:ascii="Times New Roman" w:hAnsi="Times New Roman"/>
          <w:b/>
          <w:sz w:val="20"/>
        </w:rPr>
        <w:t>2</w:t>
      </w:r>
      <w:r w:rsidRPr="009E6BD4">
        <w:rPr>
          <w:rFonts w:ascii="Times New Roman" w:hAnsi="Times New Roman"/>
          <w:b/>
          <w:sz w:val="20"/>
        </w:rPr>
        <w:t>: RAN1 shall study the channel access mechanism with directional channel sensing.</w:t>
      </w:r>
    </w:p>
    <w:p w14:paraId="40F9E14D" w14:textId="77777777" w:rsidR="006D1FC0" w:rsidRDefault="006D1FC0" w:rsidP="006D1FC0">
      <w:pPr>
        <w:spacing w:after="0"/>
        <w:jc w:val="both"/>
        <w:rPr>
          <w:rFonts w:ascii="Times New Roman" w:hAnsi="Times New Roman"/>
          <w:b/>
          <w:sz w:val="20"/>
        </w:rPr>
      </w:pPr>
    </w:p>
    <w:p w14:paraId="77CCEB32" w14:textId="0508E305" w:rsidR="006D1FC0" w:rsidRPr="006D1FC0" w:rsidRDefault="006D1FC0" w:rsidP="006D1FC0">
      <w:pPr>
        <w:spacing w:after="0"/>
        <w:jc w:val="both"/>
        <w:rPr>
          <w:rFonts w:ascii="Times New Roman" w:hAnsi="Times New Roman"/>
          <w:b/>
          <w:sz w:val="20"/>
        </w:rPr>
      </w:pPr>
      <w:r w:rsidRPr="006D1FC0">
        <w:rPr>
          <w:rFonts w:ascii="Times New Roman" w:hAnsi="Times New Roman"/>
          <w:b/>
          <w:sz w:val="20"/>
        </w:rPr>
        <w:t xml:space="preserve">Proposal 3: RAN1 shall study the channel access mechanism with handshake between transmitter and receiver.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78DBE8E3" w14:textId="3EE947A9" w:rsidR="00EF15A2" w:rsidRDefault="00EF15A2" w:rsidP="00562D0D">
      <w:pPr>
        <w:spacing w:after="0"/>
        <w:jc w:val="both"/>
        <w:rPr>
          <w:rFonts w:ascii="Times New Roman" w:hAnsi="Times New Roman"/>
          <w:sz w:val="20"/>
          <w:szCs w:val="20"/>
        </w:rPr>
      </w:pPr>
      <w:r>
        <w:rPr>
          <w:rFonts w:ascii="Times New Roman" w:hAnsi="Times New Roman"/>
          <w:sz w:val="20"/>
          <w:szCs w:val="20"/>
        </w:rPr>
        <w:t xml:space="preserve">[2] </w:t>
      </w:r>
      <w:r w:rsidR="00E162EF">
        <w:rPr>
          <w:rFonts w:ascii="Times New Roman" w:hAnsi="Times New Roman"/>
          <w:sz w:val="20"/>
          <w:szCs w:val="20"/>
        </w:rPr>
        <w:t>R1-2006136</w:t>
      </w:r>
      <w:bookmarkStart w:id="4" w:name="_GoBack"/>
      <w:bookmarkEnd w:id="4"/>
      <w:r>
        <w:rPr>
          <w:rFonts w:ascii="Times New Roman" w:hAnsi="Times New Roman"/>
          <w:sz w:val="20"/>
          <w:szCs w:val="20"/>
        </w:rPr>
        <w:t xml:space="preserve">, </w:t>
      </w:r>
      <w:r w:rsidRPr="00EF15A2">
        <w:rPr>
          <w:rFonts w:ascii="Times New Roman" w:hAnsi="Times New Roman"/>
          <w:sz w:val="20"/>
          <w:szCs w:val="20"/>
        </w:rPr>
        <w:t>Design aspects for extending NR to up to 71 GHz</w:t>
      </w:r>
      <w:r>
        <w:rPr>
          <w:rFonts w:ascii="Times New Roman" w:hAnsi="Times New Roman"/>
          <w:sz w:val="20"/>
          <w:szCs w:val="20"/>
        </w:rPr>
        <w:t xml:space="preserve">, Samsung, 2020. </w:t>
      </w:r>
    </w:p>
    <w:p w14:paraId="67604AAF" w14:textId="538799B1" w:rsidR="00EF15A2" w:rsidRDefault="00EF15A2" w:rsidP="00B916F6">
      <w:pPr>
        <w:spacing w:after="0"/>
        <w:jc w:val="both"/>
        <w:rPr>
          <w:rFonts w:ascii="Times New Roman" w:hAnsi="Times New Roman"/>
          <w:sz w:val="20"/>
          <w:szCs w:val="20"/>
        </w:rPr>
      </w:pPr>
      <w:r>
        <w:rPr>
          <w:rFonts w:ascii="Times New Roman" w:hAnsi="Times New Roman"/>
          <w:sz w:val="20"/>
          <w:szCs w:val="20"/>
        </w:rPr>
        <w:t xml:space="preserve">[3] </w:t>
      </w:r>
      <w:r w:rsidRPr="00EF15A2">
        <w:rPr>
          <w:rFonts w:ascii="Times New Roman" w:hAnsi="Times New Roman"/>
          <w:sz w:val="20"/>
          <w:szCs w:val="20"/>
        </w:rPr>
        <w:t>Draft ETSI EN 302 567 V2.1.18</w:t>
      </w:r>
      <w:r w:rsidR="00B916F6">
        <w:rPr>
          <w:rFonts w:ascii="Times New Roman" w:hAnsi="Times New Roman"/>
          <w:sz w:val="20"/>
          <w:szCs w:val="20"/>
        </w:rPr>
        <w:t xml:space="preserve">, </w:t>
      </w:r>
      <w:r w:rsidR="00B916F6" w:rsidRPr="00B916F6">
        <w:rPr>
          <w:rFonts w:ascii="Times New Roman" w:hAnsi="Times New Roman"/>
          <w:sz w:val="20"/>
          <w:szCs w:val="20"/>
        </w:rPr>
        <w:t>Multiple-Gigabit/s radio equipment</w:t>
      </w:r>
      <w:r w:rsidR="00B916F6">
        <w:rPr>
          <w:rFonts w:ascii="Times New Roman" w:hAnsi="Times New Roman"/>
          <w:sz w:val="20"/>
          <w:szCs w:val="20"/>
        </w:rPr>
        <w:t xml:space="preserve"> operating in the 60 GHz band, 2020. </w:t>
      </w:r>
    </w:p>
    <w:p w14:paraId="763779C4" w14:textId="1D65DE69" w:rsidR="005B30F1" w:rsidRPr="005B30F1" w:rsidRDefault="005B30F1" w:rsidP="005B30F1">
      <w:pPr>
        <w:spacing w:after="0"/>
        <w:jc w:val="both"/>
        <w:rPr>
          <w:rFonts w:ascii="Times New Roman" w:hAnsi="Times New Roman"/>
          <w:sz w:val="20"/>
          <w:szCs w:val="20"/>
        </w:rPr>
      </w:pPr>
      <w:r w:rsidRPr="005B30F1">
        <w:rPr>
          <w:rFonts w:ascii="Times New Roman" w:hAnsi="Times New Roman"/>
          <w:sz w:val="20"/>
          <w:szCs w:val="20"/>
        </w:rPr>
        <w:t xml:space="preserve">[4] </w:t>
      </w:r>
      <w:r>
        <w:rPr>
          <w:rFonts w:ascii="Times New Roman" w:hAnsi="Times New Roman"/>
          <w:sz w:val="20"/>
          <w:szCs w:val="20"/>
        </w:rPr>
        <w:t xml:space="preserve">3GPP </w:t>
      </w:r>
      <w:r w:rsidRPr="005B30F1">
        <w:rPr>
          <w:rFonts w:ascii="Times New Roman" w:hAnsi="Times New Roman"/>
          <w:sz w:val="20"/>
          <w:szCs w:val="20"/>
        </w:rPr>
        <w:t>TR 38.889, Study on NR-based Access to Unlicensed Spectrum (Release 16), 2018.</w:t>
      </w:r>
    </w:p>
    <w:p w14:paraId="14200F38" w14:textId="77777777" w:rsidR="005B30F1" w:rsidRPr="005B30F1" w:rsidRDefault="005B30F1" w:rsidP="00B916F6">
      <w:pPr>
        <w:spacing w:after="0"/>
        <w:jc w:val="both"/>
        <w:rPr>
          <w:rFonts w:ascii="Times New Roman" w:hAnsi="Times New Roman"/>
          <w:sz w:val="20"/>
          <w:szCs w:val="20"/>
        </w:rPr>
      </w:pP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25277" w14:textId="77777777" w:rsidR="00242982" w:rsidRDefault="00242982" w:rsidP="00C01439">
      <w:pPr>
        <w:spacing w:after="0" w:line="240" w:lineRule="auto"/>
      </w:pPr>
      <w:r>
        <w:separator/>
      </w:r>
    </w:p>
  </w:endnote>
  <w:endnote w:type="continuationSeparator" w:id="0">
    <w:p w14:paraId="205F2215" w14:textId="77777777" w:rsidR="00242982" w:rsidRDefault="00242982"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105F9A75"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162EF">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162EF" w:rsidRPr="00E162EF">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85FED" w14:textId="77777777" w:rsidR="00242982" w:rsidRDefault="00242982" w:rsidP="00C01439">
      <w:pPr>
        <w:spacing w:after="0" w:line="240" w:lineRule="auto"/>
      </w:pPr>
      <w:r>
        <w:separator/>
      </w:r>
    </w:p>
  </w:footnote>
  <w:footnote w:type="continuationSeparator" w:id="0">
    <w:p w14:paraId="191C8617" w14:textId="77777777" w:rsidR="00242982" w:rsidRDefault="00242982"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7"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0"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3"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31"/>
  </w:num>
  <w:num w:numId="3">
    <w:abstractNumId w:val="23"/>
  </w:num>
  <w:num w:numId="4">
    <w:abstractNumId w:val="35"/>
  </w:num>
  <w:num w:numId="5">
    <w:abstractNumId w:val="21"/>
  </w:num>
  <w:num w:numId="6">
    <w:abstractNumId w:val="38"/>
  </w:num>
  <w:num w:numId="7">
    <w:abstractNumId w:val="12"/>
  </w:num>
  <w:num w:numId="8">
    <w:abstractNumId w:val="13"/>
  </w:num>
  <w:num w:numId="9">
    <w:abstractNumId w:val="2"/>
  </w:num>
  <w:num w:numId="10">
    <w:abstractNumId w:val="10"/>
  </w:num>
  <w:num w:numId="11">
    <w:abstractNumId w:val="11"/>
  </w:num>
  <w:num w:numId="1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4"/>
  </w:num>
  <w:num w:numId="15">
    <w:abstractNumId w:val="18"/>
  </w:num>
  <w:num w:numId="16">
    <w:abstractNumId w:val="16"/>
  </w:num>
  <w:num w:numId="17">
    <w:abstractNumId w:val="41"/>
  </w:num>
  <w:num w:numId="18">
    <w:abstractNumId w:val="8"/>
  </w:num>
  <w:num w:numId="19">
    <w:abstractNumId w:val="22"/>
  </w:num>
  <w:num w:numId="20">
    <w:abstractNumId w:val="34"/>
  </w:num>
  <w:num w:numId="21">
    <w:abstractNumId w:val="34"/>
  </w:num>
  <w:num w:numId="22">
    <w:abstractNumId w:val="40"/>
  </w:num>
  <w:num w:numId="23">
    <w:abstractNumId w:val="37"/>
  </w:num>
  <w:num w:numId="24">
    <w:abstractNumId w:val="33"/>
  </w:num>
  <w:num w:numId="25">
    <w:abstractNumId w:val="7"/>
  </w:num>
  <w:num w:numId="26">
    <w:abstractNumId w:val="9"/>
  </w:num>
  <w:num w:numId="27">
    <w:abstractNumId w:val="20"/>
  </w:num>
  <w:num w:numId="28">
    <w:abstractNumId w:val="15"/>
  </w:num>
  <w:num w:numId="29">
    <w:abstractNumId w:val="39"/>
  </w:num>
  <w:num w:numId="30">
    <w:abstractNumId w:val="29"/>
  </w:num>
  <w:num w:numId="31">
    <w:abstractNumId w:val="34"/>
  </w:num>
  <w:num w:numId="32">
    <w:abstractNumId w:val="3"/>
  </w:num>
  <w:num w:numId="33">
    <w:abstractNumId w:val="34"/>
  </w:num>
  <w:num w:numId="34">
    <w:abstractNumId w:val="4"/>
  </w:num>
  <w:num w:numId="35">
    <w:abstractNumId w:val="34"/>
  </w:num>
  <w:num w:numId="36">
    <w:abstractNumId w:val="17"/>
  </w:num>
  <w:num w:numId="37">
    <w:abstractNumId w:val="34"/>
  </w:num>
  <w:num w:numId="38">
    <w:abstractNumId w:val="0"/>
  </w:num>
  <w:num w:numId="39">
    <w:abstractNumId w:val="19"/>
  </w:num>
  <w:num w:numId="40">
    <w:abstractNumId w:val="24"/>
  </w:num>
  <w:num w:numId="41">
    <w:abstractNumId w:val="27"/>
  </w:num>
  <w:num w:numId="42">
    <w:abstractNumId w:val="30"/>
  </w:num>
  <w:num w:numId="43">
    <w:abstractNumId w:val="32"/>
  </w:num>
  <w:num w:numId="44">
    <w:abstractNumId w:val="24"/>
  </w:num>
  <w:num w:numId="45">
    <w:abstractNumId w:val="26"/>
  </w:num>
  <w:num w:numId="46">
    <w:abstractNumId w:val="36"/>
  </w:num>
  <w:num w:numId="47">
    <w:abstractNumId w:val="1"/>
  </w:num>
  <w:num w:numId="48">
    <w:abstractNumId w:val="5"/>
  </w:num>
  <w:num w:numId="4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2982"/>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3A73"/>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771B8"/>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62EF"/>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0170"/>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FAB43-D5FD-46C4-84A0-DF445423D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2020-08-06T15:15:00Z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